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8688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МО "Унцукульский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"Гимринская поселковая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Абдулаева Дж.М.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2397704)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Гимры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868888" w:id="5"/>
    <w:p>
      <w:pPr>
        <w:sectPr>
          <w:pgSz w:w="11906" w:h="16383" w:orient="portrait"/>
        </w:sectPr>
      </w:pPr>
    </w:p>
    <w:bookmarkEnd w:id="5"/>
    <w:bookmarkEnd w:id="0"/>
    <w:bookmarkStart w:name="block-178688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7868887" w:id="8"/>
    <w:p>
      <w:pPr>
        <w:sectPr>
          <w:pgSz w:w="11906" w:h="16383" w:orient="portrait"/>
        </w:sectPr>
      </w:pPr>
    </w:p>
    <w:bookmarkEnd w:id="8"/>
    <w:bookmarkEnd w:id="6"/>
    <w:bookmarkStart w:name="block-178688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7868882" w:id="10"/>
    <w:p>
      <w:pPr>
        <w:sectPr>
          <w:pgSz w:w="11906" w:h="16383" w:orient="portrait"/>
        </w:sectPr>
      </w:pPr>
    </w:p>
    <w:bookmarkEnd w:id="10"/>
    <w:bookmarkEnd w:id="9"/>
    <w:bookmarkStart w:name="block-1786888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7868883" w:id="13"/>
    <w:p>
      <w:pPr>
        <w:sectPr>
          <w:pgSz w:w="11906" w:h="16383" w:orient="portrait"/>
        </w:sectPr>
      </w:pPr>
    </w:p>
    <w:bookmarkEnd w:id="13"/>
    <w:bookmarkEnd w:id="11"/>
    <w:bookmarkStart w:name="block-1786888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68884" w:id="15"/>
    <w:p>
      <w:pPr>
        <w:sectPr>
          <w:pgSz w:w="16383" w:h="11906" w:orient="landscape"/>
        </w:sectPr>
      </w:pPr>
    </w:p>
    <w:bookmarkEnd w:id="15"/>
    <w:bookmarkEnd w:id="14"/>
    <w:bookmarkStart w:name="block-1786888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68885" w:id="17"/>
    <w:p>
      <w:pPr>
        <w:sectPr>
          <w:pgSz w:w="16383" w:h="11906" w:orient="landscape"/>
        </w:sectPr>
      </w:pPr>
    </w:p>
    <w:bookmarkEnd w:id="17"/>
    <w:bookmarkEnd w:id="16"/>
    <w:bookmarkStart w:name="block-1786888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статистика. Методические рекомендации.7-9 классы.Высоцкий И.Р., Ященко И.В./ под ред. Ященко И.В.</w:t>
      </w:r>
      <w:bookmarkEnd w:id="20"/>
      <w:r>
        <w:rPr>
          <w:sz w:val="28"/>
        </w:rPr>
        <w:br/>
      </w:r>
      <w:bookmarkStart w:name="a3988093-b880-493b-8f1c-a7e3f3b642d5" w:id="21"/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https://edsoo.ru/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868886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